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0F910">
      <w:pPr>
        <w:spacing w:before="480" w:after="480" w:line="288" w:lineRule="auto"/>
        <w:ind w:left="0"/>
      </w:pPr>
      <w:r>
        <w:rPr>
          <w:rFonts w:ascii="Arial" w:hAnsi="Arial" w:eastAsia="等线" w:cs="Arial"/>
          <w:b/>
          <w:sz w:val="52"/>
        </w:rPr>
        <w:t>General Practice Theoretical Knowledge Assessment Paper</w:t>
      </w:r>
    </w:p>
    <w:p w14:paraId="1BD79300">
      <w:pPr>
        <w:spacing w:before="120" w:after="120" w:line="288" w:lineRule="auto"/>
        <w:ind w:left="0"/>
        <w:jc w:val="left"/>
      </w:pPr>
      <w:r>
        <w:rPr>
          <w:rFonts w:ascii="Arial" w:hAnsi="Arial" w:eastAsia="等线" w:cs="Arial"/>
          <w:b/>
          <w:sz w:val="22"/>
        </w:rPr>
        <w:t>Exam Duration</w:t>
      </w:r>
      <w:r>
        <w:rPr>
          <w:rFonts w:ascii="Arial" w:hAnsi="Arial" w:eastAsia="等线" w:cs="Arial"/>
          <w:sz w:val="22"/>
        </w:rPr>
        <w:t xml:space="preserve">: 90 minutes  </w:t>
      </w:r>
      <w:r>
        <w:rPr>
          <w:rFonts w:ascii="Arial" w:hAnsi="Arial" w:eastAsia="等线" w:cs="Arial"/>
          <w:b/>
          <w:sz w:val="22"/>
        </w:rPr>
        <w:t>Full Score</w:t>
      </w:r>
      <w:r>
        <w:rPr>
          <w:rFonts w:ascii="Arial" w:hAnsi="Arial" w:eastAsia="等线" w:cs="Arial"/>
          <w:sz w:val="22"/>
        </w:rPr>
        <w:t xml:space="preserve">: 100 points  </w:t>
      </w:r>
      <w:r>
        <w:rPr>
          <w:rFonts w:ascii="Arial" w:hAnsi="Arial" w:eastAsia="等线" w:cs="Arial"/>
          <w:b/>
          <w:sz w:val="22"/>
        </w:rPr>
        <w:t>Answer Requirements</w:t>
      </w:r>
      <w:r>
        <w:rPr>
          <w:rFonts w:ascii="Arial" w:hAnsi="Arial" w:eastAsia="等线" w:cs="Arial"/>
          <w:sz w:val="22"/>
        </w:rPr>
        <w:t>: Please answer in standard English, with clear handwriting, and write your answers in the designated answer area</w:t>
      </w:r>
    </w:p>
    <w:p w14:paraId="75D6F096">
      <w:pPr>
        <w:pBdr>
          <w:bottom w:val="single" w:color="DEE0E3" w:sz="2" w:space="0"/>
          <w:between w:val="single" w:color="DEE0E3" w:sz="2" w:space="0"/>
        </w:pBdr>
        <w:spacing w:before="120" w:after="120" w:line="288" w:lineRule="auto"/>
        <w:ind w:left="0"/>
      </w:pPr>
    </w:p>
    <w:p w14:paraId="7D2A7520">
      <w:pPr>
        <w:spacing w:before="320" w:after="120" w:line="288" w:lineRule="auto"/>
        <w:ind w:left="0"/>
        <w:jc w:val="left"/>
        <w:outlineLvl w:val="1"/>
      </w:pPr>
      <w:bookmarkStart w:id="0" w:name="heading_0"/>
      <w:r>
        <w:rPr>
          <w:rFonts w:ascii="Arial" w:hAnsi="Arial" w:eastAsia="等线" w:cs="Arial"/>
          <w:b/>
          <w:sz w:val="32"/>
        </w:rPr>
        <w:t>I. Single Choice Questions (2 points each, 20 questions in total, 40 points full score)</w:t>
      </w:r>
      <w:bookmarkEnd w:id="0"/>
    </w:p>
    <w:p w14:paraId="52AA0319">
      <w:pPr>
        <w:numPr>
          <w:ilvl w:val="0"/>
          <w:numId w:val="1"/>
        </w:numPr>
        <w:spacing w:before="120" w:after="120" w:line="288" w:lineRule="auto"/>
        <w:ind w:left="0"/>
        <w:jc w:val="left"/>
      </w:pPr>
      <w:r>
        <w:rPr>
          <w:rFonts w:ascii="Arial" w:hAnsi="Arial" w:eastAsia="等线" w:cs="Arial"/>
          <w:sz w:val="22"/>
        </w:rPr>
        <w:t>The core service model of general practice is (  )</w:t>
      </w:r>
      <w:r>
        <w:rPr>
          <w:rFonts w:ascii="Arial" w:hAnsi="Arial" w:eastAsia="等线" w:cs="Arial"/>
          <w:sz w:val="22"/>
        </w:rPr>
        <w:br w:type="textWrapping"/>
      </w:r>
      <w:r>
        <w:rPr>
          <w:rFonts w:ascii="Arial" w:hAnsi="Arial" w:eastAsia="等线" w:cs="Arial"/>
          <w:sz w:val="22"/>
        </w:rPr>
        <w:t>A. Disease-oriented service  B. Patient-oriented service  C. Community-oriented service  D. Family-oriented service</w:t>
      </w:r>
    </w:p>
    <w:p w14:paraId="73F9340D">
      <w:pPr>
        <w:numPr>
          <w:ilvl w:val="0"/>
          <w:numId w:val="2"/>
        </w:numPr>
        <w:spacing w:before="120" w:after="120" w:line="288" w:lineRule="auto"/>
        <w:ind w:left="0"/>
        <w:jc w:val="left"/>
      </w:pPr>
      <w:r>
        <w:rPr>
          <w:rFonts w:ascii="Arial" w:hAnsi="Arial" w:eastAsia="等线" w:cs="Arial"/>
          <w:sz w:val="22"/>
        </w:rPr>
        <w:t>The most common respiratory disease in primary medical institutions is (  )</w:t>
      </w:r>
      <w:r>
        <w:rPr>
          <w:rFonts w:ascii="Arial" w:hAnsi="Arial" w:eastAsia="等线" w:cs="Arial"/>
          <w:sz w:val="22"/>
        </w:rPr>
        <w:br w:type="textWrapping"/>
      </w:r>
      <w:r>
        <w:rPr>
          <w:rFonts w:ascii="Arial" w:hAnsi="Arial" w:eastAsia="等线" w:cs="Arial"/>
          <w:sz w:val="22"/>
        </w:rPr>
        <w:t>A. Pneumonia  B. Acute upper respiratory tract infection  C. Acute exacerbation of chronic obstructive pulmonary disease  D. Acute exacerbation of bronchial asthma</w:t>
      </w:r>
    </w:p>
    <w:p w14:paraId="147F060D">
      <w:pPr>
        <w:numPr>
          <w:ilvl w:val="0"/>
          <w:numId w:val="3"/>
        </w:numPr>
        <w:spacing w:before="120" w:after="120" w:line="288" w:lineRule="auto"/>
        <w:ind w:left="0"/>
        <w:jc w:val="left"/>
      </w:pPr>
      <w:r>
        <w:rPr>
          <w:rFonts w:ascii="Arial" w:hAnsi="Arial" w:eastAsia="等线" w:cs="Arial"/>
          <w:sz w:val="22"/>
        </w:rPr>
        <w:t>The general fasting blood glucose control target for patients with type 2 diabetes is (  )</w:t>
      </w:r>
      <w:r>
        <w:rPr>
          <w:rFonts w:ascii="Arial" w:hAnsi="Arial" w:eastAsia="等线" w:cs="Arial"/>
          <w:sz w:val="22"/>
        </w:rPr>
        <w:br w:type="textWrapping"/>
      </w:r>
      <w:r>
        <w:rPr>
          <w:rFonts w:ascii="Arial" w:hAnsi="Arial" w:eastAsia="等线" w:cs="Arial"/>
          <w:sz w:val="22"/>
        </w:rPr>
        <w:t>A. 3.9-6.1mmol/L  B. 4.4-7.0mmol/L  C. 5.0-8.0mmol/L  D. 6.0-10.0mmol/L</w:t>
      </w:r>
    </w:p>
    <w:p w14:paraId="2606733D">
      <w:pPr>
        <w:numPr>
          <w:ilvl w:val="0"/>
          <w:numId w:val="4"/>
        </w:numPr>
        <w:spacing w:before="120" w:after="120" w:line="288" w:lineRule="auto"/>
        <w:ind w:left="0"/>
        <w:jc w:val="left"/>
      </w:pPr>
      <w:r>
        <w:rPr>
          <w:rFonts w:ascii="Arial" w:hAnsi="Arial" w:eastAsia="等线" w:cs="Arial"/>
          <w:sz w:val="22"/>
        </w:rPr>
        <w:t>When referring patients, the primary consideration of general practitioners is (  )</w:t>
      </w:r>
      <w:r>
        <w:rPr>
          <w:rFonts w:ascii="Arial" w:hAnsi="Arial" w:eastAsia="等线" w:cs="Arial"/>
          <w:sz w:val="22"/>
        </w:rPr>
        <w:br w:type="textWrapping"/>
      </w:r>
      <w:r>
        <w:rPr>
          <w:rFonts w:ascii="Arial" w:hAnsi="Arial" w:eastAsia="等线" w:cs="Arial"/>
          <w:sz w:val="22"/>
        </w:rPr>
        <w:t>A. Patient's economic conditions  B. Level of the referral hospital  C. Patient's condition needs  D. Own diagnostic and therapeutic capabilities</w:t>
      </w:r>
    </w:p>
    <w:p w14:paraId="06E4B46C">
      <w:pPr>
        <w:numPr>
          <w:ilvl w:val="0"/>
          <w:numId w:val="5"/>
        </w:numPr>
        <w:spacing w:before="120" w:after="120" w:line="288" w:lineRule="auto"/>
        <w:ind w:left="0"/>
        <w:jc w:val="left"/>
      </w:pPr>
      <w:r>
        <w:rPr>
          <w:rFonts w:ascii="Arial" w:hAnsi="Arial" w:eastAsia="等线" w:cs="Arial"/>
          <w:sz w:val="22"/>
        </w:rPr>
        <w:t>Which of the following is not a common cardiovascular disease in primary care (  )</w:t>
      </w:r>
      <w:r>
        <w:rPr>
          <w:rFonts w:ascii="Arial" w:hAnsi="Arial" w:eastAsia="等线" w:cs="Arial"/>
          <w:sz w:val="22"/>
        </w:rPr>
        <w:br w:type="textWrapping"/>
      </w:r>
      <w:r>
        <w:rPr>
          <w:rFonts w:ascii="Arial" w:hAnsi="Arial" w:eastAsia="等线" w:cs="Arial"/>
          <w:sz w:val="22"/>
        </w:rPr>
        <w:t>A. Essential hypertension  B. Coronary heart disease  C. Heart failure  D. Rheumatic heart disease</w:t>
      </w:r>
    </w:p>
    <w:p w14:paraId="040F66C8">
      <w:pPr>
        <w:numPr>
          <w:ilvl w:val="0"/>
          <w:numId w:val="6"/>
        </w:numPr>
        <w:spacing w:before="120" w:after="120" w:line="288" w:lineRule="auto"/>
        <w:ind w:left="0"/>
        <w:jc w:val="left"/>
      </w:pPr>
      <w:r>
        <w:rPr>
          <w:rFonts w:ascii="Arial" w:hAnsi="Arial" w:eastAsia="等线" w:cs="Arial"/>
          <w:sz w:val="22"/>
        </w:rPr>
        <w:t>For hypertensive patients with diabetes, the systolic blood pressure should be controlled below (  )</w:t>
      </w:r>
      <w:r>
        <w:rPr>
          <w:rFonts w:ascii="Arial" w:hAnsi="Arial" w:eastAsia="等线" w:cs="Arial"/>
          <w:sz w:val="22"/>
        </w:rPr>
        <w:br w:type="textWrapping"/>
      </w:r>
      <w:r>
        <w:rPr>
          <w:rFonts w:ascii="Arial" w:hAnsi="Arial" w:eastAsia="等线" w:cs="Arial"/>
          <w:sz w:val="22"/>
        </w:rPr>
        <w:t>A. 130mmHg  B. 140mmHg  C. 150mmHg  D. 160mmHg</w:t>
      </w:r>
    </w:p>
    <w:p w14:paraId="5D1BFBAF">
      <w:pPr>
        <w:numPr>
          <w:ilvl w:val="0"/>
          <w:numId w:val="7"/>
        </w:numPr>
        <w:spacing w:before="120" w:after="120" w:line="288" w:lineRule="auto"/>
        <w:ind w:left="0"/>
        <w:jc w:val="left"/>
      </w:pPr>
      <w:r>
        <w:rPr>
          <w:rFonts w:ascii="Arial" w:hAnsi="Arial" w:eastAsia="等线" w:cs="Arial"/>
          <w:sz w:val="22"/>
        </w:rPr>
        <w:t>The service objects of general practice do not include (  )</w:t>
      </w:r>
      <w:r>
        <w:rPr>
          <w:rFonts w:ascii="Arial" w:hAnsi="Arial" w:eastAsia="等线" w:cs="Arial"/>
          <w:sz w:val="22"/>
        </w:rPr>
        <w:br w:type="textWrapping"/>
      </w:r>
      <w:r>
        <w:rPr>
          <w:rFonts w:ascii="Arial" w:hAnsi="Arial" w:eastAsia="等线" w:cs="Arial"/>
          <w:sz w:val="22"/>
        </w:rPr>
        <w:t>A. Healthy people  B. Sub-healthy people  C. Ill individuals  D. Intensive care patients</w:t>
      </w:r>
    </w:p>
    <w:p w14:paraId="56AB5FB5">
      <w:pPr>
        <w:numPr>
          <w:ilvl w:val="0"/>
          <w:numId w:val="8"/>
        </w:numPr>
        <w:spacing w:before="120" w:after="120" w:line="288" w:lineRule="auto"/>
        <w:ind w:left="0"/>
        <w:jc w:val="left"/>
      </w:pPr>
      <w:r>
        <w:rPr>
          <w:rFonts w:ascii="Arial" w:hAnsi="Arial" w:eastAsia="等线" w:cs="Arial"/>
          <w:sz w:val="22"/>
        </w:rPr>
        <w:t>A common digestive system disease in primary care is (  )</w:t>
      </w:r>
      <w:r>
        <w:rPr>
          <w:rFonts w:ascii="Arial" w:hAnsi="Arial" w:eastAsia="等线" w:cs="Arial"/>
          <w:sz w:val="22"/>
        </w:rPr>
        <w:br w:type="textWrapping"/>
      </w:r>
      <w:r>
        <w:rPr>
          <w:rFonts w:ascii="Arial" w:hAnsi="Arial" w:eastAsia="等线" w:cs="Arial"/>
          <w:sz w:val="22"/>
        </w:rPr>
        <w:t>A. Gastric ulcer  B. Liver cirrhosis  C. Gastric cancer  D. Acute pancreatitis</w:t>
      </w:r>
    </w:p>
    <w:p w14:paraId="07B8C08B">
      <w:pPr>
        <w:numPr>
          <w:ilvl w:val="0"/>
          <w:numId w:val="9"/>
        </w:numPr>
        <w:spacing w:before="120" w:after="120" w:line="288" w:lineRule="auto"/>
        <w:ind w:left="0"/>
        <w:jc w:val="left"/>
      </w:pPr>
      <w:r>
        <w:rPr>
          <w:rFonts w:ascii="Arial" w:hAnsi="Arial" w:eastAsia="等线" w:cs="Arial"/>
          <w:sz w:val="22"/>
        </w:rPr>
        <w:t>The core symptoms of chronic obstructive pulmonary disease are (  )</w:t>
      </w:r>
      <w:r>
        <w:rPr>
          <w:rFonts w:ascii="Arial" w:hAnsi="Arial" w:eastAsia="等线" w:cs="Arial"/>
          <w:sz w:val="22"/>
        </w:rPr>
        <w:br w:type="textWrapping"/>
      </w:r>
      <w:r>
        <w:rPr>
          <w:rFonts w:ascii="Arial" w:hAnsi="Arial" w:eastAsia="等线" w:cs="Arial"/>
          <w:sz w:val="22"/>
        </w:rPr>
        <w:t>A. Cough, expectoration, wheezing  B. Chest pain, hemoptysis  C. Dyspnea, fever  D. Chest tightness, fatigue</w:t>
      </w:r>
    </w:p>
    <w:p w14:paraId="17625529">
      <w:pPr>
        <w:numPr>
          <w:ilvl w:val="0"/>
          <w:numId w:val="10"/>
        </w:numPr>
        <w:spacing w:before="120" w:after="120" w:line="288" w:lineRule="auto"/>
        <w:ind w:left="0"/>
        <w:jc w:val="left"/>
      </w:pPr>
      <w:r>
        <w:rPr>
          <w:rFonts w:ascii="Arial" w:hAnsi="Arial" w:eastAsia="等线" w:cs="Arial"/>
          <w:sz w:val="22"/>
        </w:rPr>
        <w:t>The core content not included in the referral record is (  )</w:t>
      </w:r>
      <w:r>
        <w:rPr>
          <w:rFonts w:ascii="Arial" w:hAnsi="Arial" w:eastAsia="等线" w:cs="Arial"/>
          <w:sz w:val="22"/>
        </w:rPr>
        <w:br w:type="textWrapping"/>
      </w:r>
      <w:r>
        <w:rPr>
          <w:rFonts w:ascii="Arial" w:hAnsi="Arial" w:eastAsia="等线" w:cs="Arial"/>
          <w:sz w:val="22"/>
        </w:rPr>
        <w:t>A. Patient's basic information  B. Diagnostic and therapeutic process  C. Reason for referral  D. Patient's family contact information</w:t>
      </w:r>
    </w:p>
    <w:p w14:paraId="07EDA792">
      <w:pPr>
        <w:numPr>
          <w:ilvl w:val="0"/>
          <w:numId w:val="11"/>
        </w:numPr>
        <w:spacing w:before="120" w:after="120" w:line="288" w:lineRule="auto"/>
        <w:ind w:left="0"/>
        <w:jc w:val="left"/>
      </w:pPr>
      <w:r>
        <w:rPr>
          <w:rFonts w:ascii="Arial" w:hAnsi="Arial" w:eastAsia="等线" w:cs="Arial"/>
          <w:sz w:val="22"/>
        </w:rPr>
        <w:t>The core competencies of general practitioners do not include (  )</w:t>
      </w:r>
      <w:r>
        <w:rPr>
          <w:rFonts w:ascii="Arial" w:hAnsi="Arial" w:eastAsia="等线" w:cs="Arial"/>
          <w:sz w:val="22"/>
        </w:rPr>
        <w:br w:type="textWrapping"/>
      </w:r>
      <w:r>
        <w:rPr>
          <w:rFonts w:ascii="Arial" w:hAnsi="Arial" w:eastAsia="等线" w:cs="Arial"/>
          <w:sz w:val="22"/>
        </w:rPr>
        <w:t>A. Clinical diagnosis and treatment capabilities  B. Community health management capabilities  C. Scientific research and innovation capabilities  D. Critical care rescue capabilities</w:t>
      </w:r>
    </w:p>
    <w:p w14:paraId="40EAF430">
      <w:pPr>
        <w:numPr>
          <w:ilvl w:val="0"/>
          <w:numId w:val="12"/>
        </w:numPr>
        <w:spacing w:before="120" w:after="120" w:line="288" w:lineRule="auto"/>
        <w:ind w:left="0"/>
        <w:jc w:val="left"/>
      </w:pPr>
      <w:r>
        <w:rPr>
          <w:rFonts w:ascii="Arial" w:hAnsi="Arial" w:eastAsia="等线" w:cs="Arial"/>
          <w:sz w:val="22"/>
        </w:rPr>
        <w:t>Which of the following is a chronic complication of diabetes (  )</w:t>
      </w:r>
      <w:r>
        <w:rPr>
          <w:rFonts w:ascii="Arial" w:hAnsi="Arial" w:eastAsia="等线" w:cs="Arial"/>
          <w:sz w:val="22"/>
        </w:rPr>
        <w:br w:type="textWrapping"/>
      </w:r>
      <w:r>
        <w:rPr>
          <w:rFonts w:ascii="Arial" w:hAnsi="Arial" w:eastAsia="等线" w:cs="Arial"/>
          <w:sz w:val="22"/>
        </w:rPr>
        <w:t>A. Diabetic ketoacidosis  B. Hyperosmolar hyperglycemic state  C. Diabetic nephropathy  D. Hypoglycemia</w:t>
      </w:r>
    </w:p>
    <w:p w14:paraId="27A145E4">
      <w:pPr>
        <w:numPr>
          <w:ilvl w:val="0"/>
          <w:numId w:val="13"/>
        </w:numPr>
        <w:spacing w:before="120" w:after="120" w:line="288" w:lineRule="auto"/>
        <w:ind w:left="0"/>
        <w:jc w:val="left"/>
      </w:pPr>
      <w:r>
        <w:rPr>
          <w:rFonts w:ascii="Arial" w:hAnsi="Arial" w:eastAsia="等线" w:cs="Arial"/>
          <w:sz w:val="22"/>
        </w:rPr>
        <w:t>For patients with acute abdominal pain in primary care, which of the following situations requires immediate referral (  )</w:t>
      </w:r>
      <w:r>
        <w:rPr>
          <w:rFonts w:ascii="Arial" w:hAnsi="Arial" w:eastAsia="等线" w:cs="Arial"/>
          <w:sz w:val="22"/>
        </w:rPr>
        <w:br w:type="textWrapping"/>
      </w:r>
      <w:r>
        <w:rPr>
          <w:rFonts w:ascii="Arial" w:hAnsi="Arial" w:eastAsia="等线" w:cs="Arial"/>
          <w:sz w:val="22"/>
        </w:rPr>
        <w:t>A. Persistent abdominal pain unrelieved with hematemesis  B. Mild abdominal pain with bloating  C. Abdominal pain with diarrhea  D. Abdominal pain with acid reflux</w:t>
      </w:r>
    </w:p>
    <w:p w14:paraId="17721DE8">
      <w:pPr>
        <w:numPr>
          <w:ilvl w:val="0"/>
          <w:numId w:val="14"/>
        </w:numPr>
        <w:spacing w:before="120" w:after="120" w:line="288" w:lineRule="auto"/>
        <w:ind w:left="0"/>
        <w:jc w:val="left"/>
      </w:pPr>
      <w:r>
        <w:rPr>
          <w:rFonts w:ascii="Arial" w:hAnsi="Arial" w:eastAsia="等线" w:cs="Arial"/>
          <w:sz w:val="22"/>
        </w:rPr>
        <w:t>The "continuous service" emphasized by general practice refers to (  )</w:t>
      </w:r>
      <w:r>
        <w:rPr>
          <w:rFonts w:ascii="Arial" w:hAnsi="Arial" w:eastAsia="等线" w:cs="Arial"/>
          <w:sz w:val="22"/>
        </w:rPr>
        <w:br w:type="textWrapping"/>
      </w:r>
      <w:r>
        <w:rPr>
          <w:rFonts w:ascii="Arial" w:hAnsi="Arial" w:eastAsia="等线" w:cs="Arial"/>
          <w:sz w:val="22"/>
        </w:rPr>
        <w:t>A. Full-course service from birth to death  B. Service only during illness  C. Service only in the community  D. Service only for chronic disease patients</w:t>
      </w:r>
    </w:p>
    <w:p w14:paraId="2372CA3A">
      <w:pPr>
        <w:numPr>
          <w:ilvl w:val="0"/>
          <w:numId w:val="15"/>
        </w:numPr>
        <w:spacing w:before="120" w:after="120" w:line="288" w:lineRule="auto"/>
        <w:ind w:left="0"/>
        <w:jc w:val="left"/>
      </w:pPr>
      <w:r>
        <w:rPr>
          <w:rFonts w:ascii="Arial" w:hAnsi="Arial" w:eastAsia="等线" w:cs="Arial"/>
          <w:sz w:val="22"/>
        </w:rPr>
        <w:t>The preferred method for primary screening of osteoporosis is (  )</w:t>
      </w:r>
      <w:r>
        <w:rPr>
          <w:rFonts w:ascii="Arial" w:hAnsi="Arial" w:eastAsia="等线" w:cs="Arial"/>
          <w:sz w:val="22"/>
        </w:rPr>
        <w:br w:type="textWrapping"/>
      </w:r>
      <w:r>
        <w:rPr>
          <w:rFonts w:ascii="Arial" w:hAnsi="Arial" w:eastAsia="等线" w:cs="Arial"/>
          <w:sz w:val="22"/>
        </w:rPr>
        <w:t>A. Bone mineral density detection  B. X-ray film  C. Blood calcium detection  D. Blood phosphorus detection</w:t>
      </w:r>
    </w:p>
    <w:p w14:paraId="00429580">
      <w:pPr>
        <w:numPr>
          <w:ilvl w:val="0"/>
          <w:numId w:val="16"/>
        </w:numPr>
        <w:spacing w:before="120" w:after="120" w:line="288" w:lineRule="auto"/>
        <w:ind w:left="0"/>
        <w:jc w:val="left"/>
      </w:pPr>
      <w:r>
        <w:rPr>
          <w:rFonts w:ascii="Arial" w:hAnsi="Arial" w:eastAsia="等线" w:cs="Arial"/>
          <w:sz w:val="22"/>
        </w:rPr>
        <w:t>For hypertensive patients with stable blood pressure control, the recommended follow-up frequency is every (  )</w:t>
      </w:r>
      <w:r>
        <w:rPr>
          <w:rFonts w:ascii="Arial" w:hAnsi="Arial" w:eastAsia="等线" w:cs="Arial"/>
          <w:sz w:val="22"/>
        </w:rPr>
        <w:br w:type="textWrapping"/>
      </w:r>
      <w:r>
        <w:rPr>
          <w:rFonts w:ascii="Arial" w:hAnsi="Arial" w:eastAsia="等线" w:cs="Arial"/>
          <w:sz w:val="22"/>
        </w:rPr>
        <w:t>A. 1 month  B. 3 months  C. 6 months  D. 12 months</w:t>
      </w:r>
    </w:p>
    <w:p w14:paraId="1CD29786">
      <w:pPr>
        <w:numPr>
          <w:ilvl w:val="0"/>
          <w:numId w:val="17"/>
        </w:numPr>
        <w:spacing w:before="120" w:after="120" w:line="288" w:lineRule="auto"/>
        <w:ind w:left="0"/>
        <w:jc w:val="left"/>
      </w:pPr>
      <w:r>
        <w:rPr>
          <w:rFonts w:ascii="Arial" w:hAnsi="Arial" w:eastAsia="等线" w:cs="Arial"/>
          <w:sz w:val="22"/>
        </w:rPr>
        <w:t>Which of the following is not a core content of General Practice Introduction (  )</w:t>
      </w:r>
      <w:r>
        <w:rPr>
          <w:rFonts w:ascii="Arial" w:hAnsi="Arial" w:eastAsia="等线" w:cs="Arial"/>
          <w:sz w:val="22"/>
        </w:rPr>
        <w:br w:type="textWrapping"/>
      </w:r>
      <w:r>
        <w:rPr>
          <w:rFonts w:ascii="Arial" w:hAnsi="Arial" w:eastAsia="等线" w:cs="Arial"/>
          <w:sz w:val="22"/>
        </w:rPr>
        <w:t>A. Characteristics of general practice  B. Responsibilities of general practitioners  C. Precise diagnosis and treatment of specialist diseases  D. Community health service management</w:t>
      </w:r>
    </w:p>
    <w:p w14:paraId="3A8BD2E5">
      <w:pPr>
        <w:numPr>
          <w:ilvl w:val="0"/>
          <w:numId w:val="18"/>
        </w:numPr>
        <w:spacing w:before="120" w:after="120" w:line="288" w:lineRule="auto"/>
        <w:ind w:left="0"/>
        <w:jc w:val="left"/>
      </w:pPr>
      <w:r>
        <w:rPr>
          <w:rFonts w:ascii="Arial" w:hAnsi="Arial" w:eastAsia="等线" w:cs="Arial"/>
          <w:sz w:val="22"/>
        </w:rPr>
        <w:t>A common urinary system disease in primary care is (  )</w:t>
      </w:r>
      <w:r>
        <w:rPr>
          <w:rFonts w:ascii="Arial" w:hAnsi="Arial" w:eastAsia="等线" w:cs="Arial"/>
          <w:sz w:val="22"/>
        </w:rPr>
        <w:br w:type="textWrapping"/>
      </w:r>
      <w:r>
        <w:rPr>
          <w:rFonts w:ascii="Arial" w:hAnsi="Arial" w:eastAsia="等线" w:cs="Arial"/>
          <w:sz w:val="22"/>
        </w:rPr>
        <w:t>A. Urinary tract infection  B. Kidney stones  C. Renal cell carcinoma  D. Uremia</w:t>
      </w:r>
    </w:p>
    <w:p w14:paraId="43AF13D0">
      <w:pPr>
        <w:numPr>
          <w:ilvl w:val="0"/>
          <w:numId w:val="19"/>
        </w:numPr>
        <w:spacing w:before="120" w:after="120" w:line="288" w:lineRule="auto"/>
        <w:ind w:left="0"/>
        <w:jc w:val="left"/>
      </w:pPr>
      <w:r>
        <w:rPr>
          <w:rFonts w:ascii="Arial" w:hAnsi="Arial" w:eastAsia="等线" w:cs="Arial"/>
          <w:sz w:val="22"/>
        </w:rPr>
        <w:t>Which of the following statements about the dietary principles for diabetic patients is incorrect (  )</w:t>
      </w:r>
      <w:r>
        <w:rPr>
          <w:rFonts w:ascii="Arial" w:hAnsi="Arial" w:eastAsia="等线" w:cs="Arial"/>
          <w:sz w:val="22"/>
        </w:rPr>
        <w:br w:type="textWrapping"/>
      </w:r>
      <w:r>
        <w:rPr>
          <w:rFonts w:ascii="Arial" w:hAnsi="Arial" w:eastAsia="等线" w:cs="Arial"/>
          <w:sz w:val="22"/>
        </w:rPr>
        <w:t>A. Control total calories  B. High-carbohydrate diet  C. Appropriate protein  D. Low-fat diet</w:t>
      </w:r>
    </w:p>
    <w:p w14:paraId="32B83D9B">
      <w:pPr>
        <w:numPr>
          <w:ilvl w:val="0"/>
          <w:numId w:val="20"/>
        </w:numPr>
        <w:spacing w:before="120" w:after="120" w:line="288" w:lineRule="auto"/>
        <w:ind w:left="0"/>
        <w:jc w:val="left"/>
      </w:pPr>
      <w:r>
        <w:rPr>
          <w:rFonts w:ascii="Arial" w:hAnsi="Arial" w:eastAsia="等线" w:cs="Arial"/>
          <w:sz w:val="22"/>
        </w:rPr>
        <w:t>The basic principle of referral is (  )</w:t>
      </w:r>
      <w:r>
        <w:rPr>
          <w:rFonts w:ascii="Arial" w:hAnsi="Arial" w:eastAsia="等线" w:cs="Arial"/>
          <w:sz w:val="22"/>
        </w:rPr>
        <w:br w:type="textWrapping"/>
      </w:r>
      <w:r>
        <w:rPr>
          <w:rFonts w:ascii="Arial" w:hAnsi="Arial" w:eastAsia="等线" w:cs="Arial"/>
          <w:sz w:val="22"/>
        </w:rPr>
        <w:t>A. Do not refer patients that can be treated at the primary level  B. All patients need to be referred to superior hospitals  C. Refer patients if they request it  D. Prioritize referral of patients with mild conditions</w:t>
      </w:r>
    </w:p>
    <w:p w14:paraId="2DDAADF8">
      <w:pPr>
        <w:spacing w:before="320" w:after="120" w:line="288" w:lineRule="auto"/>
        <w:ind w:left="0"/>
        <w:jc w:val="left"/>
        <w:outlineLvl w:val="1"/>
      </w:pPr>
      <w:bookmarkStart w:id="1" w:name="heading_1"/>
      <w:r>
        <w:rPr>
          <w:rFonts w:ascii="Arial" w:hAnsi="Arial" w:eastAsia="等线" w:cs="Arial"/>
          <w:b/>
          <w:sz w:val="32"/>
        </w:rPr>
        <w:t>II. Fill in the Blanks (1 point per blank, 10 blanks in total, 10 points full score)</w:t>
      </w:r>
      <w:bookmarkEnd w:id="1"/>
    </w:p>
    <w:p w14:paraId="3CD71303">
      <w:pPr>
        <w:numPr>
          <w:ilvl w:val="0"/>
          <w:numId w:val="21"/>
        </w:numPr>
        <w:spacing w:before="120" w:after="120" w:line="288" w:lineRule="auto"/>
        <w:ind w:left="0"/>
        <w:jc w:val="left"/>
      </w:pPr>
      <w:r>
        <w:rPr>
          <w:rFonts w:ascii="Arial" w:hAnsi="Arial" w:eastAsia="等线" w:cs="Arial"/>
          <w:sz w:val="22"/>
        </w:rPr>
        <w:t>General practice is a comprehensive medical discipline integrating ________, ________, prevention, and rehabilitation.</w:t>
      </w:r>
    </w:p>
    <w:p w14:paraId="29B07E4F">
      <w:pPr>
        <w:numPr>
          <w:ilvl w:val="0"/>
          <w:numId w:val="22"/>
        </w:numPr>
        <w:spacing w:before="120" w:after="120" w:line="288" w:lineRule="auto"/>
        <w:ind w:left="0"/>
        <w:jc w:val="left"/>
      </w:pPr>
      <w:r>
        <w:rPr>
          <w:rFonts w:ascii="Arial" w:hAnsi="Arial" w:eastAsia="等线" w:cs="Arial"/>
          <w:sz w:val="22"/>
        </w:rPr>
        <w:t>The diagnostic criteria for essential hypertension are: systolic blood pressure ≥ ________ mmHg and/or diastolic blood pressure ≥ ________ mmHg measured on 3 non-consecutive days.</w:t>
      </w:r>
    </w:p>
    <w:p w14:paraId="0AF4166A">
      <w:pPr>
        <w:numPr>
          <w:ilvl w:val="0"/>
          <w:numId w:val="23"/>
        </w:numPr>
        <w:spacing w:before="120" w:after="120" w:line="288" w:lineRule="auto"/>
        <w:ind w:left="0"/>
        <w:jc w:val="left"/>
      </w:pPr>
      <w:r>
        <w:rPr>
          <w:rFonts w:ascii="Arial" w:hAnsi="Arial" w:eastAsia="等线" w:cs="Arial"/>
          <w:sz w:val="22"/>
        </w:rPr>
        <w:t>The core of chronic disease management is ________, ________, standardized medication, and regular monitoring.</w:t>
      </w:r>
    </w:p>
    <w:p w14:paraId="3C0C2516">
      <w:pPr>
        <w:numPr>
          <w:ilvl w:val="0"/>
          <w:numId w:val="24"/>
        </w:numPr>
        <w:spacing w:before="120" w:after="120" w:line="288" w:lineRule="auto"/>
        <w:ind w:left="0"/>
        <w:jc w:val="left"/>
      </w:pPr>
      <w:r>
        <w:rPr>
          <w:rFonts w:ascii="Arial" w:hAnsi="Arial" w:eastAsia="等线" w:cs="Arial"/>
          <w:sz w:val="22"/>
        </w:rPr>
        <w:t>When referring patients, general practitioners should fill in a ________, specifying the referral indications and preliminary diagnostic and therapeutic opinions.</w:t>
      </w:r>
    </w:p>
    <w:p w14:paraId="1AA04BB4">
      <w:pPr>
        <w:numPr>
          <w:ilvl w:val="0"/>
          <w:numId w:val="25"/>
        </w:numPr>
        <w:spacing w:before="120" w:after="120" w:line="288" w:lineRule="auto"/>
        <w:ind w:left="0"/>
        <w:jc w:val="left"/>
      </w:pPr>
      <w:r>
        <w:rPr>
          <w:rFonts w:ascii="Arial" w:hAnsi="Arial" w:eastAsia="等线" w:cs="Arial"/>
          <w:sz w:val="22"/>
        </w:rPr>
        <w:t>The diagnostic and therapeutic principles for common and frequently occurring diseases in primary care are ________, safety, effectiveness, and economy.</w:t>
      </w:r>
    </w:p>
    <w:p w14:paraId="160C3BE0">
      <w:pPr>
        <w:spacing w:before="320" w:after="120" w:line="288" w:lineRule="auto"/>
        <w:ind w:left="0"/>
        <w:jc w:val="left"/>
        <w:outlineLvl w:val="1"/>
      </w:pPr>
      <w:bookmarkStart w:id="2" w:name="heading_2"/>
      <w:r>
        <w:rPr>
          <w:rFonts w:ascii="Arial" w:hAnsi="Arial" w:eastAsia="等线" w:cs="Arial"/>
          <w:b/>
          <w:sz w:val="32"/>
        </w:rPr>
        <w:t>III. Short Answer Questions (10 points each, 3 questions in total, 30 points full score)</w:t>
      </w:r>
      <w:bookmarkEnd w:id="2"/>
    </w:p>
    <w:p w14:paraId="3FE10304">
      <w:pPr>
        <w:numPr>
          <w:ilvl w:val="0"/>
          <w:numId w:val="26"/>
        </w:numPr>
        <w:spacing w:before="120" w:after="120" w:line="288" w:lineRule="auto"/>
        <w:ind w:left="0"/>
        <w:jc w:val="left"/>
      </w:pPr>
      <w:r>
        <w:rPr>
          <w:rFonts w:ascii="Arial" w:hAnsi="Arial" w:eastAsia="等线" w:cs="Arial"/>
          <w:sz w:val="22"/>
        </w:rPr>
        <w:t>Briefly describe the core characteristics of general practice.</w:t>
      </w:r>
    </w:p>
    <w:p w14:paraId="1C843ACC">
      <w:pPr>
        <w:numPr>
          <w:ilvl w:val="0"/>
          <w:numId w:val="27"/>
        </w:numPr>
        <w:spacing w:before="120" w:after="120" w:line="288" w:lineRule="auto"/>
        <w:ind w:left="0"/>
        <w:jc w:val="left"/>
      </w:pPr>
      <w:r>
        <w:rPr>
          <w:rFonts w:ascii="Arial" w:hAnsi="Arial" w:eastAsia="等线" w:cs="Arial"/>
          <w:sz w:val="22"/>
        </w:rPr>
        <w:t>Briefly describe the key points of chronic disease management for hypertensive patients in primary care.</w:t>
      </w:r>
    </w:p>
    <w:p w14:paraId="69874694">
      <w:pPr>
        <w:numPr>
          <w:ilvl w:val="0"/>
          <w:numId w:val="28"/>
        </w:numPr>
        <w:spacing w:before="120" w:after="120" w:line="288" w:lineRule="auto"/>
        <w:ind w:left="0"/>
        <w:jc w:val="left"/>
      </w:pPr>
      <w:r>
        <w:rPr>
          <w:rFonts w:ascii="Arial" w:hAnsi="Arial" w:eastAsia="等线" w:cs="Arial"/>
          <w:sz w:val="22"/>
        </w:rPr>
        <w:t>Briefly describe the indications and precautions for general practitioners to refer patients.</w:t>
      </w:r>
    </w:p>
    <w:p w14:paraId="41C8EFE4">
      <w:pPr>
        <w:spacing w:before="320" w:after="120" w:line="288" w:lineRule="auto"/>
        <w:ind w:left="0"/>
        <w:jc w:val="left"/>
        <w:outlineLvl w:val="1"/>
      </w:pPr>
      <w:bookmarkStart w:id="3" w:name="heading_3"/>
      <w:r>
        <w:rPr>
          <w:rFonts w:ascii="Arial" w:hAnsi="Arial" w:eastAsia="等线" w:cs="Arial"/>
          <w:b/>
          <w:sz w:val="32"/>
        </w:rPr>
        <w:t>IV. Case Analysis Question (20 points each, 1 question in total, 20 points full score)</w:t>
      </w:r>
      <w:bookmarkEnd w:id="3"/>
    </w:p>
    <w:p w14:paraId="3A32DEE5">
      <w:pPr>
        <w:spacing w:before="120" w:after="120" w:line="288" w:lineRule="auto"/>
        <w:ind w:left="0"/>
        <w:jc w:val="left"/>
      </w:pPr>
      <w:r>
        <w:rPr>
          <w:rFonts w:ascii="Arial" w:hAnsi="Arial" w:eastAsia="等线" w:cs="Arial"/>
          <w:sz w:val="22"/>
        </w:rPr>
        <w:t>Case: A 62-year-old male patient, retired worker, has lived in the community for a long time. He has a history of hypertension for 8 years with poor blood pressure control (blood pressure measured multiple times in the past 3 months was 150-160/90-100mmHg). He has been taking nifedipine sustained-release tablets (20mg, once a day) for a long time, without regular blood pressure monitoring. He occasionally has dizziness and headache, no chest tightness or chest pain, no nausea or vomiting. He has a high-salt diet, lacks exercise, and has smoked 10 cigarettes a day for 20 years. He came to the community health service center for consultation today. Physical examination: T36.5℃, P80 beats/min, R18 breaths/min, BP158/95mmHg, conscious, no obvious abnormalities in the heart, lungs, or abdomen.</w:t>
      </w:r>
    </w:p>
    <w:p w14:paraId="53650DBE">
      <w:pPr>
        <w:spacing w:before="120" w:after="120" w:line="288" w:lineRule="auto"/>
        <w:ind w:left="0"/>
        <w:jc w:val="left"/>
      </w:pPr>
      <w:r>
        <w:rPr>
          <w:rFonts w:ascii="Arial" w:hAnsi="Arial" w:eastAsia="等线" w:cs="Arial"/>
          <w:sz w:val="22"/>
        </w:rPr>
        <w:t>Questions: (1) What is the current diagnosis and existing problems of the patient? (8 points) (2) As a general practitioner, what is your chronic disease management plan for this patient? (8 points) (3) Does this patient need to be referred? Explain the reasons. (4 points)</w:t>
      </w:r>
    </w:p>
    <w:p w14:paraId="0D43A302">
      <w:pPr>
        <w:pBdr>
          <w:bottom w:val="single" w:color="DEE0E3" w:sz="2" w:space="0"/>
          <w:between w:val="single" w:color="DEE0E3" w:sz="2" w:space="0"/>
        </w:pBdr>
        <w:spacing w:before="120" w:after="120" w:line="288" w:lineRule="auto"/>
        <w:ind w:left="0"/>
      </w:pPr>
    </w:p>
    <w:p w14:paraId="3E8D7F05">
      <w:pPr>
        <w:spacing w:before="320" w:after="120" w:line="288" w:lineRule="auto"/>
        <w:ind w:left="0"/>
        <w:jc w:val="left"/>
        <w:outlineLvl w:val="1"/>
      </w:pPr>
      <w:bookmarkStart w:id="4" w:name="heading_4"/>
      <w:r>
        <w:rPr>
          <w:rFonts w:ascii="Arial" w:hAnsi="Arial" w:eastAsia="等线" w:cs="Arial"/>
          <w:b/>
          <w:sz w:val="32"/>
        </w:rPr>
        <w:t>Reference Answers and Scoring Standards</w:t>
      </w:r>
      <w:bookmarkEnd w:id="4"/>
    </w:p>
    <w:p w14:paraId="7D60CD9F">
      <w:pPr>
        <w:spacing w:before="300" w:after="120" w:line="288" w:lineRule="auto"/>
        <w:ind w:left="0"/>
        <w:jc w:val="left"/>
        <w:outlineLvl w:val="2"/>
      </w:pPr>
      <w:bookmarkStart w:id="5" w:name="heading_5"/>
      <w:r>
        <w:rPr>
          <w:rFonts w:ascii="Arial" w:hAnsi="Arial" w:eastAsia="等线" w:cs="Arial"/>
          <w:b/>
          <w:sz w:val="30"/>
        </w:rPr>
        <w:t>I. Single Choice Questions (2 points each, 40 points full score)</w:t>
      </w:r>
      <w:bookmarkEnd w:id="5"/>
    </w:p>
    <w:p w14:paraId="0DCB78E4">
      <w:pPr>
        <w:spacing w:before="120" w:after="120" w:line="288" w:lineRule="auto"/>
        <w:ind w:left="0"/>
        <w:jc w:val="left"/>
      </w:pPr>
      <w:r>
        <w:rPr>
          <w:rFonts w:ascii="Arial" w:hAnsi="Arial" w:eastAsia="等线" w:cs="Arial"/>
          <w:sz w:val="22"/>
        </w:rPr>
        <w:t>1.D  2.B  3.B  4.C  5.D  6.A  7.D  8.A  9.A  10.D  11.D  12.C  13.A  14.A  15.A  16.B  17.C  18.A  19.B  20.A</w:t>
      </w:r>
    </w:p>
    <w:p w14:paraId="515D3F0B">
      <w:pPr>
        <w:spacing w:before="300" w:after="120" w:line="288" w:lineRule="auto"/>
        <w:ind w:left="0"/>
        <w:jc w:val="left"/>
        <w:outlineLvl w:val="2"/>
      </w:pPr>
      <w:bookmarkStart w:id="6" w:name="heading_6"/>
      <w:r>
        <w:rPr>
          <w:rFonts w:ascii="Arial" w:hAnsi="Arial" w:eastAsia="等线" w:cs="Arial"/>
          <w:b/>
          <w:sz w:val="30"/>
        </w:rPr>
        <w:t>II. Fill in the Blanks (1 point per blank, 10 points full score)</w:t>
      </w:r>
      <w:bookmarkEnd w:id="6"/>
    </w:p>
    <w:p w14:paraId="52F38286">
      <w:pPr>
        <w:spacing w:before="120" w:after="120" w:line="288" w:lineRule="auto"/>
        <w:ind w:left="0"/>
        <w:jc w:val="left"/>
      </w:pPr>
      <w:r>
        <w:rPr>
          <w:rFonts w:ascii="Arial" w:hAnsi="Arial" w:eastAsia="等线" w:cs="Arial"/>
          <w:sz w:val="22"/>
        </w:rPr>
        <w:t>1. Clinical practice; Health care  2. 140; 90  3. Early screening; Standardized management  4. Referral record  5. Simplicity</w:t>
      </w:r>
    </w:p>
    <w:p w14:paraId="778D4A4F">
      <w:pPr>
        <w:spacing w:before="300" w:after="120" w:line="288" w:lineRule="auto"/>
        <w:ind w:left="0"/>
        <w:jc w:val="left"/>
        <w:outlineLvl w:val="2"/>
      </w:pPr>
      <w:bookmarkStart w:id="7" w:name="heading_7"/>
      <w:r>
        <w:rPr>
          <w:rFonts w:ascii="Arial" w:hAnsi="Arial" w:eastAsia="等线" w:cs="Arial"/>
          <w:b/>
          <w:sz w:val="30"/>
        </w:rPr>
        <w:t>III. Short Answer Questions (10 points each, 30 points full score)</w:t>
      </w:r>
      <w:bookmarkEnd w:id="7"/>
    </w:p>
    <w:p w14:paraId="5198CD92">
      <w:pPr>
        <w:numPr>
          <w:ilvl w:val="0"/>
          <w:numId w:val="29"/>
        </w:numPr>
        <w:spacing w:before="120" w:after="120" w:line="288" w:lineRule="auto"/>
        <w:ind w:left="0"/>
        <w:jc w:val="left"/>
      </w:pPr>
      <w:r>
        <w:rPr>
          <w:rFonts w:ascii="Arial" w:hAnsi="Arial" w:eastAsia="等线" w:cs="Arial"/>
          <w:sz w:val="22"/>
        </w:rPr>
        <w:t>Briefly describe the core characteristics of general practice (10 points)</w:t>
      </w:r>
      <w:r>
        <w:rPr>
          <w:rFonts w:ascii="Arial" w:hAnsi="Arial" w:eastAsia="等线" w:cs="Arial"/>
          <w:sz w:val="22"/>
        </w:rPr>
        <w:br w:type="textWrapping"/>
      </w:r>
      <w:r>
        <w:rPr>
          <w:rFonts w:ascii="Arial" w:hAnsi="Arial" w:eastAsia="等线" w:cs="Arial"/>
          <w:sz w:val="22"/>
        </w:rPr>
        <w:t>(1) Family-oriented service (2 points); (2) Continuous service (2 points); (3) Comprehensive service (2 points); (4) Community-oriented service (2 points); (5) Prevention-oriented service (2 points).</w:t>
      </w:r>
    </w:p>
    <w:p w14:paraId="36981AC8">
      <w:pPr>
        <w:numPr>
          <w:ilvl w:val="0"/>
          <w:numId w:val="30"/>
        </w:numPr>
        <w:spacing w:before="120" w:after="120" w:line="288" w:lineRule="auto"/>
        <w:ind w:left="0"/>
        <w:jc w:val="left"/>
      </w:pPr>
      <w:r>
        <w:rPr>
          <w:rFonts w:ascii="Arial" w:hAnsi="Arial" w:eastAsia="等线" w:cs="Arial"/>
          <w:sz w:val="22"/>
        </w:rPr>
        <w:t>Briefly describe the key points of chronic disease management for hypertensive patients in primary care (10 points)</w:t>
      </w:r>
      <w:r>
        <w:rPr>
          <w:rFonts w:ascii="Arial" w:hAnsi="Arial" w:eastAsia="等线" w:cs="Arial"/>
          <w:sz w:val="22"/>
        </w:rPr>
        <w:br w:type="textWrapping"/>
      </w:r>
      <w:r>
        <w:rPr>
          <w:rFonts w:ascii="Arial" w:hAnsi="Arial" w:eastAsia="等线" w:cs="Arial"/>
          <w:sz w:val="22"/>
        </w:rPr>
        <w:t>(1) Blood pressure monitoring: Guide patients to monitor blood pressure regularly and record changes in blood pressure (2 points); (2) Medication guidance: Emphasize taking medicine regularly as prescribed by the doctor, not increasing or decreasing the dosage or stopping medicine without authorization, and explain the adverse reactions of the medicine (2 points); (3) Lifestyle intervention: Low-salt diet, appropriate exercise, smoking cessation and alcohol restriction, weight control, and maintaining a good attitude (3 points); (4) Regular follow-up: Adjust the follow-up frequency according to the blood pressure control status and monitor complications (2 points); (5) Health education: Popularize knowledge related to hypertension, improve patient compliance (1 point).</w:t>
      </w:r>
    </w:p>
    <w:p w14:paraId="7D0D7A8B">
      <w:pPr>
        <w:numPr>
          <w:ilvl w:val="0"/>
          <w:numId w:val="31"/>
        </w:numPr>
        <w:spacing w:before="120" w:after="120" w:line="288" w:lineRule="auto"/>
        <w:ind w:left="0"/>
        <w:jc w:val="left"/>
      </w:pPr>
      <w:r>
        <w:rPr>
          <w:rFonts w:ascii="Arial" w:hAnsi="Arial" w:eastAsia="等线" w:cs="Arial"/>
          <w:sz w:val="22"/>
        </w:rPr>
        <w:t>Briefly describe the indications and precautions for general practitioners to refer patients (10 points)</w:t>
      </w:r>
      <w:r>
        <w:rPr>
          <w:rFonts w:ascii="Arial" w:hAnsi="Arial" w:eastAsia="等线" w:cs="Arial"/>
          <w:sz w:val="22"/>
        </w:rPr>
        <w:br w:type="textWrapping"/>
      </w:r>
      <w:r>
        <w:rPr>
          <w:rFonts w:ascii="Arial" w:hAnsi="Arial" w:eastAsia="等线" w:cs="Arial"/>
          <w:sz w:val="22"/>
        </w:rPr>
        <w:t>Referral indications (6 points): ① Patients with complex conditions that cannot be clearly diagnosed at the primary level; ② Patients in critical condition that cannot be rescued and treated at the primary level; ③ Patients who need special specialist examinations or treatments; ④ Patients whose original diseases have aggravated and developed severe complications; ⑤ Patients and their families who request referral and meet the referral indications.</w:t>
      </w:r>
      <w:r>
        <w:rPr>
          <w:rFonts w:ascii="Arial" w:hAnsi="Arial" w:eastAsia="等线" w:cs="Arial"/>
          <w:sz w:val="22"/>
        </w:rPr>
        <w:br w:type="textWrapping"/>
      </w:r>
      <w:r>
        <w:rPr>
          <w:rFonts w:ascii="Arial" w:hAnsi="Arial" w:eastAsia="等线" w:cs="Arial"/>
          <w:sz w:val="22"/>
        </w:rPr>
        <w:t>Precautions (4 points): ① Fill in a complete referral record, specifying the reason for referral and preliminary diagnostic and therapeutic opinions; ② Communicate with the referral hospital in advance to make good connections; ③ Inform the patient and their family of the purpose and precautions of the referral; ④ Escort critically ill patients for referral.</w:t>
      </w:r>
    </w:p>
    <w:p w14:paraId="0F09EAC2">
      <w:pPr>
        <w:spacing w:before="300" w:after="120" w:line="288" w:lineRule="auto"/>
        <w:ind w:left="0"/>
        <w:jc w:val="left"/>
        <w:outlineLvl w:val="2"/>
      </w:pPr>
      <w:bookmarkStart w:id="8" w:name="heading_8"/>
      <w:r>
        <w:rPr>
          <w:rFonts w:ascii="Arial" w:hAnsi="Arial" w:eastAsia="等线" w:cs="Arial"/>
          <w:b/>
          <w:sz w:val="30"/>
        </w:rPr>
        <w:t>IV. Case Analysis Question (20 points)</w:t>
      </w:r>
      <w:bookmarkEnd w:id="8"/>
    </w:p>
    <w:p w14:paraId="08E44052">
      <w:pPr>
        <w:numPr>
          <w:ilvl w:val="0"/>
          <w:numId w:val="32"/>
        </w:numPr>
        <w:spacing w:before="120" w:after="120" w:line="288" w:lineRule="auto"/>
        <w:ind w:left="0"/>
        <w:jc w:val="left"/>
      </w:pPr>
      <w:r>
        <w:rPr>
          <w:rFonts w:ascii="Arial" w:hAnsi="Arial" w:eastAsia="等线" w:cs="Arial"/>
          <w:sz w:val="22"/>
        </w:rPr>
        <w:t>Diagnosis and existing problems (8 points)</w:t>
      </w:r>
      <w:r>
        <w:rPr>
          <w:rFonts w:ascii="Arial" w:hAnsi="Arial" w:eastAsia="等线" w:cs="Arial"/>
          <w:sz w:val="22"/>
        </w:rPr>
        <w:br w:type="textWrapping"/>
      </w:r>
      <w:r>
        <w:rPr>
          <w:rFonts w:ascii="Arial" w:hAnsi="Arial" w:eastAsia="等线" w:cs="Arial"/>
          <w:sz w:val="22"/>
        </w:rPr>
        <w:t>Diagnosis: Essential hypertension (Grade 2, very high risk) (3 points).</w:t>
      </w:r>
      <w:r>
        <w:rPr>
          <w:rFonts w:ascii="Arial" w:hAnsi="Arial" w:eastAsia="等线" w:cs="Arial"/>
          <w:sz w:val="22"/>
        </w:rPr>
        <w:br w:type="textWrapping"/>
      </w:r>
      <w:r>
        <w:rPr>
          <w:rFonts w:ascii="Arial" w:hAnsi="Arial" w:eastAsia="等线" w:cs="Arial"/>
          <w:sz w:val="22"/>
        </w:rPr>
        <w:t>Existing problems: ① Poor blood pressure control, failing to reach the control target (2 points); ② Irregular medication use, failing to adjust medication according to blood pressure (1 point); ③ Unhealthy lifestyle (high-salt diet, lack of exercise, smoking) (1 point); ④ No regular blood pressure monitoring and poor compliance (1 point).</w:t>
      </w:r>
    </w:p>
    <w:p w14:paraId="2E40487E">
      <w:pPr>
        <w:numPr>
          <w:ilvl w:val="0"/>
          <w:numId w:val="33"/>
        </w:numPr>
        <w:spacing w:before="120" w:after="120" w:line="288" w:lineRule="auto"/>
        <w:ind w:left="0"/>
        <w:jc w:val="left"/>
      </w:pPr>
      <w:r>
        <w:rPr>
          <w:rFonts w:ascii="Arial" w:hAnsi="Arial" w:eastAsia="等线" w:cs="Arial"/>
          <w:sz w:val="22"/>
        </w:rPr>
        <w:t>Chronic disease management plan (8 points)</w:t>
      </w:r>
      <w:r>
        <w:rPr>
          <w:rFonts w:ascii="Arial" w:hAnsi="Arial" w:eastAsia="等线" w:cs="Arial"/>
          <w:sz w:val="22"/>
        </w:rPr>
        <w:br w:type="textWrapping"/>
      </w:r>
      <w:r>
        <w:rPr>
          <w:rFonts w:ascii="Arial" w:hAnsi="Arial" w:eastAsia="等线" w:cs="Arial"/>
          <w:sz w:val="22"/>
        </w:rPr>
        <w:t>① Medication adjustment: Adjust nifedipine sustained-release tablets to 20mg twice a day as prescribed by the doctor, monitor blood pressure changes, and combine with other antihypertensive drugs if necessary (2 points); ② Blood pressure monitoring: Guide the patient to measure blood pressure once each morning and evening, record the blood pressure value, return for follow-up once a week, and adjust the treatment plan according to the blood pressure (2 points); ③ Lifestyle intervention: Low-salt diet (daily salt intake &lt; 5g), appropriate aerobic exercise (such as brisk walking, tai chi), smoking cessation, and alcohol restriction (2 points); ④ Health education: Explain the importance of hypertension control, improve patient compliance, and inform the adverse reactions of the medicine and corresponding coping methods (2 points).</w:t>
      </w:r>
    </w:p>
    <w:p w14:paraId="0DB75B9B">
      <w:pPr>
        <w:numPr>
          <w:ilvl w:val="0"/>
          <w:numId w:val="34"/>
        </w:numPr>
        <w:spacing w:before="120" w:after="120" w:line="288" w:lineRule="auto"/>
        <w:ind w:left="0"/>
        <w:jc w:val="left"/>
      </w:pPr>
      <w:r>
        <w:rPr>
          <w:rFonts w:ascii="Arial" w:hAnsi="Arial" w:eastAsia="等线" w:cs="Arial"/>
          <w:sz w:val="22"/>
        </w:rPr>
        <w:t>Referral judgment and reasons (4 points)</w:t>
      </w:r>
      <w:r>
        <w:rPr>
          <w:rFonts w:ascii="Arial" w:hAnsi="Arial" w:eastAsia="等线" w:cs="Arial"/>
          <w:sz w:val="22"/>
        </w:rPr>
        <w:br w:type="textWrapping"/>
      </w:r>
      <w:r>
        <w:rPr>
          <w:rFonts w:ascii="Arial" w:hAnsi="Arial" w:eastAsia="等线" w:cs="Arial"/>
          <w:sz w:val="22"/>
        </w:rPr>
        <w:t>No referral is needed (2 points). Reason: Although the patient's blood pressure is not well controlled at present, there are no obvious critical symptoms (such as chest tightness, chest pain, disturbance of consciousness, etc.) and no severe complications. Blood pressure can be controlled at the primary level through medication adjustment, lifestyle intervention, and regular follow-up, which is in line with the scope of primary diagnosis and treatment (2 points).</w:t>
      </w:r>
      <w:bookmarkStart w:id="9" w:name="_GoBack"/>
      <w:bookmarkEnd w:id="9"/>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872C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05C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3"/>
      <w:numFmt w:val="decimal"/>
      <w:lvlText w:val="%1."/>
      <w:lvlJc w:val="left"/>
      <w:rPr>
        <w:color w:val="3370FF"/>
      </w:rPr>
    </w:lvl>
  </w:abstractNum>
  <w:abstractNum w:abstractNumId="1">
    <w:nsid w:val="8461FADE"/>
    <w:multiLevelType w:val="singleLevel"/>
    <w:tmpl w:val="8461FADE"/>
    <w:lvl w:ilvl="0" w:tentative="0">
      <w:start w:val="3"/>
      <w:numFmt w:val="decimal"/>
      <w:lvlText w:val="%1."/>
      <w:lvlJc w:val="left"/>
      <w:rPr>
        <w:color w:val="3370FF"/>
      </w:rPr>
    </w:lvl>
  </w:abstractNum>
  <w:abstractNum w:abstractNumId="2">
    <w:nsid w:val="9239341B"/>
    <w:multiLevelType w:val="singleLevel"/>
    <w:tmpl w:val="9239341B"/>
    <w:lvl w:ilvl="0" w:tentative="0">
      <w:start w:val="10"/>
      <w:numFmt w:val="decimal"/>
      <w:lvlText w:val="%1."/>
      <w:lvlJc w:val="left"/>
      <w:rPr>
        <w:color w:val="3370FF"/>
      </w:rPr>
    </w:lvl>
  </w:abstractNum>
  <w:abstractNum w:abstractNumId="3">
    <w:nsid w:val="9288B902"/>
    <w:multiLevelType w:val="singleLevel"/>
    <w:tmpl w:val="9288B902"/>
    <w:lvl w:ilvl="0" w:tentative="0">
      <w:start w:val="1"/>
      <w:numFmt w:val="decimal"/>
      <w:lvlText w:val="%1."/>
      <w:lvlJc w:val="left"/>
      <w:rPr>
        <w:color w:val="3370FF"/>
      </w:rPr>
    </w:lvl>
  </w:abstractNum>
  <w:abstractNum w:abstractNumId="4">
    <w:nsid w:val="9C8AC8EF"/>
    <w:multiLevelType w:val="singleLevel"/>
    <w:tmpl w:val="9C8AC8EF"/>
    <w:lvl w:ilvl="0" w:tentative="0">
      <w:start w:val="19"/>
      <w:numFmt w:val="decimal"/>
      <w:lvlText w:val="%1."/>
      <w:lvlJc w:val="left"/>
      <w:rPr>
        <w:color w:val="3370FF"/>
      </w:rPr>
    </w:lvl>
  </w:abstractNum>
  <w:abstractNum w:abstractNumId="5">
    <w:nsid w:val="B0F1ACD9"/>
    <w:multiLevelType w:val="singleLevel"/>
    <w:tmpl w:val="B0F1ACD9"/>
    <w:lvl w:ilvl="0" w:tentative="0">
      <w:start w:val="4"/>
      <w:numFmt w:val="decimal"/>
      <w:lvlText w:val="%1."/>
      <w:lvlJc w:val="left"/>
      <w:rPr>
        <w:color w:val="3370FF"/>
      </w:rPr>
    </w:lvl>
  </w:abstractNum>
  <w:abstractNum w:abstractNumId="6">
    <w:nsid w:val="B5E306ED"/>
    <w:multiLevelType w:val="singleLevel"/>
    <w:tmpl w:val="B5E306ED"/>
    <w:lvl w:ilvl="0" w:tentative="0">
      <w:start w:val="5"/>
      <w:numFmt w:val="decimal"/>
      <w:lvlText w:val="%1."/>
      <w:lvlJc w:val="left"/>
      <w:rPr>
        <w:color w:val="3370FF"/>
      </w:rPr>
    </w:lvl>
  </w:abstractNum>
  <w:abstractNum w:abstractNumId="7">
    <w:nsid w:val="BE923771"/>
    <w:multiLevelType w:val="singleLevel"/>
    <w:tmpl w:val="BE923771"/>
    <w:lvl w:ilvl="0" w:tentative="0">
      <w:start w:val="2"/>
      <w:numFmt w:val="decimal"/>
      <w:lvlText w:val="%1."/>
      <w:lvlJc w:val="left"/>
      <w:rPr>
        <w:color w:val="3370FF"/>
      </w:rPr>
    </w:lvl>
  </w:abstractNum>
  <w:abstractNum w:abstractNumId="8">
    <w:nsid w:val="BF205925"/>
    <w:multiLevelType w:val="singleLevel"/>
    <w:tmpl w:val="BF205925"/>
    <w:lvl w:ilvl="0" w:tentative="0">
      <w:start w:val="4"/>
      <w:numFmt w:val="decimal"/>
      <w:lvlText w:val="%1."/>
      <w:lvlJc w:val="left"/>
      <w:rPr>
        <w:color w:val="3370FF"/>
      </w:rPr>
    </w:lvl>
  </w:abstractNum>
  <w:abstractNum w:abstractNumId="9">
    <w:nsid w:val="C8879AEF"/>
    <w:multiLevelType w:val="singleLevel"/>
    <w:tmpl w:val="C8879AEF"/>
    <w:lvl w:ilvl="0" w:tentative="0">
      <w:start w:val="13"/>
      <w:numFmt w:val="decimal"/>
      <w:lvlText w:val="%1."/>
      <w:lvlJc w:val="left"/>
      <w:rPr>
        <w:color w:val="3370FF"/>
      </w:rPr>
    </w:lvl>
  </w:abstractNum>
  <w:abstractNum w:abstractNumId="10">
    <w:nsid w:val="CF092B84"/>
    <w:multiLevelType w:val="singleLevel"/>
    <w:tmpl w:val="CF092B84"/>
    <w:lvl w:ilvl="0" w:tentative="0">
      <w:start w:val="2"/>
      <w:numFmt w:val="decimal"/>
      <w:lvlText w:val="%1."/>
      <w:lvlJc w:val="left"/>
      <w:rPr>
        <w:color w:val="3370FF"/>
      </w:rPr>
    </w:lvl>
  </w:abstractNum>
  <w:abstractNum w:abstractNumId="11">
    <w:nsid w:val="D7F9FE59"/>
    <w:multiLevelType w:val="singleLevel"/>
    <w:tmpl w:val="D7F9FE59"/>
    <w:lvl w:ilvl="0" w:tentative="0">
      <w:start w:val="18"/>
      <w:numFmt w:val="decimal"/>
      <w:lvlText w:val="%1."/>
      <w:lvlJc w:val="left"/>
      <w:rPr>
        <w:color w:val="3370FF"/>
      </w:rPr>
    </w:lvl>
  </w:abstractNum>
  <w:abstractNum w:abstractNumId="12">
    <w:nsid w:val="DCBA6B53"/>
    <w:multiLevelType w:val="singleLevel"/>
    <w:tmpl w:val="DCBA6B53"/>
    <w:lvl w:ilvl="0" w:tentative="0">
      <w:start w:val="17"/>
      <w:numFmt w:val="decimal"/>
      <w:lvlText w:val="%1."/>
      <w:lvlJc w:val="left"/>
      <w:rPr>
        <w:color w:val="3370FF"/>
      </w:rPr>
    </w:lvl>
  </w:abstractNum>
  <w:abstractNum w:abstractNumId="13">
    <w:nsid w:val="F4B5D9F5"/>
    <w:multiLevelType w:val="singleLevel"/>
    <w:tmpl w:val="F4B5D9F5"/>
    <w:lvl w:ilvl="0" w:tentative="0">
      <w:start w:val="15"/>
      <w:numFmt w:val="decimal"/>
      <w:lvlText w:val="%1."/>
      <w:lvlJc w:val="left"/>
      <w:rPr>
        <w:color w:val="3370FF"/>
      </w:rPr>
    </w:lvl>
  </w:abstractNum>
  <w:abstractNum w:abstractNumId="14">
    <w:nsid w:val="0053208E"/>
    <w:multiLevelType w:val="singleLevel"/>
    <w:tmpl w:val="0053208E"/>
    <w:lvl w:ilvl="0" w:tentative="0">
      <w:start w:val="1"/>
      <w:numFmt w:val="decimal"/>
      <w:lvlText w:val="%1."/>
      <w:lvlJc w:val="left"/>
      <w:rPr>
        <w:color w:val="3370FF"/>
      </w:rPr>
    </w:lvl>
  </w:abstractNum>
  <w:abstractNum w:abstractNumId="15">
    <w:nsid w:val="0248C179"/>
    <w:multiLevelType w:val="singleLevel"/>
    <w:tmpl w:val="0248C179"/>
    <w:lvl w:ilvl="0" w:tentative="0">
      <w:start w:val="9"/>
      <w:numFmt w:val="decimal"/>
      <w:lvlText w:val="%1."/>
      <w:lvlJc w:val="left"/>
      <w:rPr>
        <w:color w:val="3370FF"/>
      </w:rPr>
    </w:lvl>
  </w:abstractNum>
  <w:abstractNum w:abstractNumId="16">
    <w:nsid w:val="03D62ECE"/>
    <w:multiLevelType w:val="singleLevel"/>
    <w:tmpl w:val="03D62ECE"/>
    <w:lvl w:ilvl="0" w:tentative="0">
      <w:start w:val="6"/>
      <w:numFmt w:val="decimal"/>
      <w:lvlText w:val="%1."/>
      <w:lvlJc w:val="left"/>
      <w:rPr>
        <w:color w:val="3370FF"/>
      </w:rPr>
    </w:lvl>
  </w:abstractNum>
  <w:abstractNum w:abstractNumId="17">
    <w:nsid w:val="0E640482"/>
    <w:multiLevelType w:val="singleLevel"/>
    <w:tmpl w:val="0E640482"/>
    <w:lvl w:ilvl="0" w:tentative="0">
      <w:start w:val="2"/>
      <w:numFmt w:val="decimal"/>
      <w:lvlText w:val="%1."/>
      <w:lvlJc w:val="left"/>
      <w:rPr>
        <w:color w:val="3370FF"/>
      </w:rPr>
    </w:lvl>
  </w:abstractNum>
  <w:abstractNum w:abstractNumId="18">
    <w:nsid w:val="2470EC97"/>
    <w:multiLevelType w:val="singleLevel"/>
    <w:tmpl w:val="2470EC97"/>
    <w:lvl w:ilvl="0" w:tentative="0">
      <w:start w:val="16"/>
      <w:numFmt w:val="decimal"/>
      <w:lvlText w:val="%1."/>
      <w:lvlJc w:val="left"/>
      <w:rPr>
        <w:color w:val="3370FF"/>
      </w:rPr>
    </w:lvl>
  </w:abstractNum>
  <w:abstractNum w:abstractNumId="19">
    <w:nsid w:val="25B654F3"/>
    <w:multiLevelType w:val="singleLevel"/>
    <w:tmpl w:val="25B654F3"/>
    <w:lvl w:ilvl="0" w:tentative="0">
      <w:start w:val="7"/>
      <w:numFmt w:val="decimal"/>
      <w:lvlText w:val="%1."/>
      <w:lvlJc w:val="left"/>
      <w:rPr>
        <w:color w:val="3370FF"/>
      </w:rPr>
    </w:lvl>
  </w:abstractNum>
  <w:abstractNum w:abstractNumId="20">
    <w:nsid w:val="2A8F537B"/>
    <w:multiLevelType w:val="singleLevel"/>
    <w:tmpl w:val="2A8F537B"/>
    <w:lvl w:ilvl="0" w:tentative="0">
      <w:start w:val="11"/>
      <w:numFmt w:val="decimal"/>
      <w:lvlText w:val="%1."/>
      <w:lvlJc w:val="left"/>
      <w:rPr>
        <w:color w:val="3370FF"/>
      </w:rPr>
    </w:lvl>
  </w:abstractNum>
  <w:abstractNum w:abstractNumId="21">
    <w:nsid w:val="39A0D9AC"/>
    <w:multiLevelType w:val="singleLevel"/>
    <w:tmpl w:val="39A0D9AC"/>
    <w:lvl w:ilvl="0" w:tentative="0">
      <w:start w:val="2"/>
      <w:numFmt w:val="decimal"/>
      <w:lvlText w:val="%1."/>
      <w:lvlJc w:val="left"/>
      <w:rPr>
        <w:color w:val="3370FF"/>
      </w:rPr>
    </w:lvl>
  </w:abstractNum>
  <w:abstractNum w:abstractNumId="22">
    <w:nsid w:val="46A08BB8"/>
    <w:multiLevelType w:val="singleLevel"/>
    <w:tmpl w:val="46A08BB8"/>
    <w:lvl w:ilvl="0" w:tentative="0">
      <w:start w:val="3"/>
      <w:numFmt w:val="decimal"/>
      <w:lvlText w:val="%1."/>
      <w:lvlJc w:val="left"/>
      <w:rPr>
        <w:color w:val="3370FF"/>
      </w:rPr>
    </w:lvl>
  </w:abstractNum>
  <w:abstractNum w:abstractNumId="23">
    <w:nsid w:val="4C1BAE26"/>
    <w:multiLevelType w:val="singleLevel"/>
    <w:tmpl w:val="4C1BAE26"/>
    <w:lvl w:ilvl="0" w:tentative="0">
      <w:start w:val="20"/>
      <w:numFmt w:val="decimal"/>
      <w:lvlText w:val="%1."/>
      <w:lvlJc w:val="left"/>
      <w:rPr>
        <w:color w:val="3370FF"/>
      </w:rPr>
    </w:lvl>
  </w:abstractNum>
  <w:abstractNum w:abstractNumId="24">
    <w:nsid w:val="4D4DC07F"/>
    <w:multiLevelType w:val="singleLevel"/>
    <w:tmpl w:val="4D4DC07F"/>
    <w:lvl w:ilvl="0" w:tentative="0">
      <w:start w:val="14"/>
      <w:numFmt w:val="decimal"/>
      <w:lvlText w:val="%1."/>
      <w:lvlJc w:val="left"/>
      <w:rPr>
        <w:color w:val="3370FF"/>
      </w:rPr>
    </w:lvl>
  </w:abstractNum>
  <w:abstractNum w:abstractNumId="25">
    <w:nsid w:val="58765686"/>
    <w:multiLevelType w:val="singleLevel"/>
    <w:tmpl w:val="58765686"/>
    <w:lvl w:ilvl="0" w:tentative="0">
      <w:start w:val="1"/>
      <w:numFmt w:val="decimal"/>
      <w:lvlText w:val="%1."/>
      <w:lvlJc w:val="left"/>
      <w:rPr>
        <w:color w:val="3370FF"/>
      </w:rPr>
    </w:lvl>
  </w:abstractNum>
  <w:abstractNum w:abstractNumId="26">
    <w:nsid w:val="59ADCABA"/>
    <w:multiLevelType w:val="singleLevel"/>
    <w:tmpl w:val="59ADCABA"/>
    <w:lvl w:ilvl="0" w:tentative="0">
      <w:start w:val="3"/>
      <w:numFmt w:val="decimal"/>
      <w:lvlText w:val="%1."/>
      <w:lvlJc w:val="left"/>
      <w:rPr>
        <w:color w:val="3370FF"/>
      </w:rPr>
    </w:lvl>
  </w:abstractNum>
  <w:abstractNum w:abstractNumId="27">
    <w:nsid w:val="5A241D34"/>
    <w:multiLevelType w:val="singleLevel"/>
    <w:tmpl w:val="5A241D34"/>
    <w:lvl w:ilvl="0" w:tentative="0">
      <w:start w:val="12"/>
      <w:numFmt w:val="decimal"/>
      <w:lvlText w:val="%1."/>
      <w:lvlJc w:val="left"/>
      <w:rPr>
        <w:color w:val="3370FF"/>
      </w:rPr>
    </w:lvl>
  </w:abstractNum>
  <w:abstractNum w:abstractNumId="28">
    <w:nsid w:val="60382F6E"/>
    <w:multiLevelType w:val="singleLevel"/>
    <w:tmpl w:val="60382F6E"/>
    <w:lvl w:ilvl="0" w:tentative="0">
      <w:start w:val="1"/>
      <w:numFmt w:val="decimal"/>
      <w:lvlText w:val="%1."/>
      <w:lvlJc w:val="left"/>
      <w:rPr>
        <w:color w:val="3370FF"/>
      </w:rPr>
    </w:lvl>
  </w:abstractNum>
  <w:abstractNum w:abstractNumId="29">
    <w:nsid w:val="629F7852"/>
    <w:multiLevelType w:val="singleLevel"/>
    <w:tmpl w:val="629F7852"/>
    <w:lvl w:ilvl="0" w:tentative="0">
      <w:start w:val="3"/>
      <w:numFmt w:val="decimal"/>
      <w:lvlText w:val="%1."/>
      <w:lvlJc w:val="left"/>
      <w:rPr>
        <w:color w:val="3370FF"/>
      </w:rPr>
    </w:lvl>
  </w:abstractNum>
  <w:abstractNum w:abstractNumId="30">
    <w:nsid w:val="72183CF9"/>
    <w:multiLevelType w:val="singleLevel"/>
    <w:tmpl w:val="72183CF9"/>
    <w:lvl w:ilvl="0" w:tentative="0">
      <w:start w:val="8"/>
      <w:numFmt w:val="decimal"/>
      <w:lvlText w:val="%1."/>
      <w:lvlJc w:val="left"/>
      <w:rPr>
        <w:color w:val="3370FF"/>
      </w:rPr>
    </w:lvl>
  </w:abstractNum>
  <w:abstractNum w:abstractNumId="31">
    <w:nsid w:val="77ECEA79"/>
    <w:multiLevelType w:val="singleLevel"/>
    <w:tmpl w:val="77ECEA79"/>
    <w:lvl w:ilvl="0" w:tentative="0">
      <w:start w:val="1"/>
      <w:numFmt w:val="decimal"/>
      <w:lvlText w:val="%1."/>
      <w:lvlJc w:val="left"/>
      <w:rPr>
        <w:color w:val="3370FF"/>
      </w:rPr>
    </w:lvl>
  </w:abstractNum>
  <w:abstractNum w:abstractNumId="32">
    <w:nsid w:val="7C246926"/>
    <w:multiLevelType w:val="singleLevel"/>
    <w:tmpl w:val="7C246926"/>
    <w:lvl w:ilvl="0" w:tentative="0">
      <w:start w:val="5"/>
      <w:numFmt w:val="decimal"/>
      <w:lvlText w:val="%1."/>
      <w:lvlJc w:val="left"/>
      <w:rPr>
        <w:color w:val="3370FF"/>
      </w:rPr>
    </w:lvl>
  </w:abstractNum>
  <w:abstractNum w:abstractNumId="33">
    <w:nsid w:val="7DEC2089"/>
    <w:multiLevelType w:val="singleLevel"/>
    <w:tmpl w:val="7DEC2089"/>
    <w:lvl w:ilvl="0" w:tentative="0">
      <w:start w:val="2"/>
      <w:numFmt w:val="decimal"/>
      <w:lvlText w:val="%1."/>
      <w:lvlJc w:val="left"/>
      <w:rPr>
        <w:color w:val="3370FF"/>
      </w:rPr>
    </w:lvl>
  </w:abstractNum>
  <w:num w:numId="1">
    <w:abstractNumId w:val="14"/>
  </w:num>
  <w:num w:numId="2">
    <w:abstractNumId w:val="10"/>
  </w:num>
  <w:num w:numId="3">
    <w:abstractNumId w:val="26"/>
  </w:num>
  <w:num w:numId="4">
    <w:abstractNumId w:val="8"/>
  </w:num>
  <w:num w:numId="5">
    <w:abstractNumId w:val="6"/>
  </w:num>
  <w:num w:numId="6">
    <w:abstractNumId w:val="16"/>
  </w:num>
  <w:num w:numId="7">
    <w:abstractNumId w:val="19"/>
  </w:num>
  <w:num w:numId="8">
    <w:abstractNumId w:val="30"/>
  </w:num>
  <w:num w:numId="9">
    <w:abstractNumId w:val="15"/>
  </w:num>
  <w:num w:numId="10">
    <w:abstractNumId w:val="2"/>
  </w:num>
  <w:num w:numId="11">
    <w:abstractNumId w:val="20"/>
  </w:num>
  <w:num w:numId="12">
    <w:abstractNumId w:val="27"/>
  </w:num>
  <w:num w:numId="13">
    <w:abstractNumId w:val="9"/>
  </w:num>
  <w:num w:numId="14">
    <w:abstractNumId w:val="24"/>
  </w:num>
  <w:num w:numId="15">
    <w:abstractNumId w:val="13"/>
  </w:num>
  <w:num w:numId="16">
    <w:abstractNumId w:val="18"/>
  </w:num>
  <w:num w:numId="17">
    <w:abstractNumId w:val="12"/>
  </w:num>
  <w:num w:numId="18">
    <w:abstractNumId w:val="11"/>
  </w:num>
  <w:num w:numId="19">
    <w:abstractNumId w:val="4"/>
  </w:num>
  <w:num w:numId="20">
    <w:abstractNumId w:val="23"/>
  </w:num>
  <w:num w:numId="21">
    <w:abstractNumId w:val="28"/>
  </w:num>
  <w:num w:numId="22">
    <w:abstractNumId w:val="17"/>
  </w:num>
  <w:num w:numId="23">
    <w:abstractNumId w:val="22"/>
  </w:num>
  <w:num w:numId="24">
    <w:abstractNumId w:val="5"/>
  </w:num>
  <w:num w:numId="25">
    <w:abstractNumId w:val="32"/>
  </w:num>
  <w:num w:numId="26">
    <w:abstractNumId w:val="31"/>
  </w:num>
  <w:num w:numId="27">
    <w:abstractNumId w:val="7"/>
  </w:num>
  <w:num w:numId="28">
    <w:abstractNumId w:val="29"/>
  </w:num>
  <w:num w:numId="29">
    <w:abstractNumId w:val="3"/>
  </w:num>
  <w:num w:numId="30">
    <w:abstractNumId w:val="21"/>
  </w:num>
  <w:num w:numId="31">
    <w:abstractNumId w:val="1"/>
  </w:num>
  <w:num w:numId="32">
    <w:abstractNumId w:val="25"/>
  </w:num>
  <w:num w:numId="33">
    <w:abstractNumId w:val="33"/>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0BB535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1651</Words>
  <Characters>9303</Characters>
  <TotalTime>0</TotalTime>
  <ScaleCrop>false</ScaleCrop>
  <LinksUpToDate>false</LinksUpToDate>
  <CharactersWithSpaces>10965</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2026-03-05T03:08:00Z</dcterms:created>
  <dc:creator>Apache POI</dc:creator>
  <cp:lastModifiedBy>邓玮</cp:lastModifiedBy>
  <dcterms:modified xsi:type="dcterms:W3CDTF">2026-03-05T03:46:52Z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eyJoZGlkIjoiYWVmMmQ2YTc3ZjgxMzNiMTc1ZGVmMGU3NTliYTkyYWUiLCJ1c2VySWQiOiIzMjE1NTg5OTUifQ==</vt:lpwstr>
  </property>
  <property fmtid="{D5CDD505-2E9C-101B-9397-08002B2CF9AE}" pid="3" name="KSOProductBuildVer">
    <vt:lpwstr>2052-12.1.0.24657</vt:lpwstr>
  </property>
  <property fmtid="{D5CDD505-2E9C-101B-9397-08002B2CF9AE}" pid="4" name="ICV">
    <vt:lpwstr>9C7F0DAB677140DAA7D075B95B3CD767_12</vt:lpwstr>
  </property>
</Properties>
</file>